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62B78F83"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472386">
        <w:rPr>
          <w:rFonts w:ascii="Arial" w:hAnsi="Arial" w:cs="Arial"/>
          <w:b/>
          <w:bCs/>
        </w:rPr>
        <w:t>4</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Pr>
          <w:rFonts w:ascii="Arial" w:hAnsi="Arial" w:cs="Arial"/>
          <w:b/>
          <w:bCs/>
        </w:rPr>
        <w:t>2</w:t>
      </w:r>
      <w:r w:rsidR="005840CA">
        <w:rPr>
          <w:rFonts w:ascii="Arial" w:hAnsi="Arial" w:cs="Arial"/>
          <w:b/>
          <w:bCs/>
        </w:rPr>
        <w:t>1</w:t>
      </w:r>
      <w:r w:rsidR="0028027C">
        <w:rPr>
          <w:rFonts w:ascii="Arial" w:hAnsi="Arial" w:cs="Arial"/>
          <w:b/>
          <w:bCs/>
        </w:rPr>
        <w:t>0</w:t>
      </w:r>
      <w:r w:rsidR="00530B88">
        <w:rPr>
          <w:rFonts w:ascii="Arial" w:hAnsi="Arial" w:cs="Arial"/>
          <w:b/>
          <w:bCs/>
        </w:rPr>
        <w:t>5120</w:t>
      </w:r>
    </w:p>
    <w:p w14:paraId="78D1E51D" w14:textId="736A1904" w:rsidR="004B17E3" w:rsidRPr="00210D4C" w:rsidRDefault="004B17E3" w:rsidP="004B17E3">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530B88">
        <w:rPr>
          <w:rFonts w:ascii="Arial" w:eastAsia="MS Mincho" w:hAnsi="Arial" w:cs="Arial"/>
          <w:b/>
          <w:bCs/>
          <w:lang w:eastAsia="ja-JP"/>
        </w:rPr>
        <w:t>May</w:t>
      </w:r>
      <w:r w:rsidR="005840CA" w:rsidRPr="00435F1E">
        <w:rPr>
          <w:rFonts w:ascii="Arial" w:eastAsia="MS Mincho" w:hAnsi="Arial" w:cs="Arial"/>
          <w:b/>
          <w:bCs/>
          <w:lang w:eastAsia="ja-JP"/>
        </w:rPr>
        <w:t xml:space="preserve"> </w:t>
      </w:r>
      <w:r w:rsidR="00530B88">
        <w:rPr>
          <w:rFonts w:ascii="Arial" w:eastAsia="MS Mincho" w:hAnsi="Arial" w:cs="Arial"/>
          <w:b/>
          <w:bCs/>
          <w:lang w:eastAsia="ja-JP"/>
        </w:rPr>
        <w:t>19</w:t>
      </w:r>
      <w:r w:rsidR="005840CA">
        <w:rPr>
          <w:rFonts w:ascii="Arial" w:eastAsia="MS Mincho" w:hAnsi="Arial" w:cs="Arial"/>
          <w:b/>
          <w:bCs/>
          <w:vertAlign w:val="superscript"/>
          <w:lang w:eastAsia="ja-JP"/>
        </w:rPr>
        <w:t>th</w:t>
      </w:r>
      <w:r w:rsidR="005840CA" w:rsidRPr="00435F1E">
        <w:rPr>
          <w:rFonts w:ascii="Arial" w:eastAsia="MS Mincho" w:hAnsi="Arial" w:cs="Arial"/>
          <w:b/>
          <w:bCs/>
          <w:lang w:eastAsia="ja-JP"/>
        </w:rPr>
        <w:t xml:space="preserve"> –</w:t>
      </w:r>
      <w:r w:rsidR="005840CA">
        <w:rPr>
          <w:rFonts w:ascii="Arial" w:eastAsia="MS Mincho" w:hAnsi="Arial" w:cs="Arial"/>
          <w:b/>
          <w:bCs/>
          <w:lang w:eastAsia="ja-JP"/>
        </w:rPr>
        <w:t xml:space="preserve"> </w:t>
      </w:r>
      <w:r w:rsidR="00530B88">
        <w:rPr>
          <w:rFonts w:ascii="Arial" w:eastAsia="MS Mincho" w:hAnsi="Arial" w:cs="Arial"/>
          <w:b/>
          <w:bCs/>
          <w:lang w:eastAsia="ja-JP"/>
        </w:rPr>
        <w:t>May</w:t>
      </w:r>
      <w:r w:rsidR="005840CA">
        <w:rPr>
          <w:rFonts w:ascii="Arial" w:eastAsia="MS Mincho" w:hAnsi="Arial" w:cs="Arial"/>
          <w:b/>
          <w:bCs/>
          <w:lang w:eastAsia="ja-JP"/>
        </w:rPr>
        <w:t xml:space="preserve"> </w:t>
      </w:r>
      <w:r w:rsidR="00530B88">
        <w:rPr>
          <w:rFonts w:ascii="Arial" w:eastAsia="MS Mincho" w:hAnsi="Arial" w:cs="Arial"/>
          <w:b/>
          <w:bCs/>
          <w:lang w:eastAsia="ja-JP"/>
        </w:rPr>
        <w:t>28</w:t>
      </w:r>
      <w:r w:rsidR="005840CA" w:rsidRPr="00435F1E">
        <w:rPr>
          <w:rFonts w:ascii="Arial" w:eastAsia="MS Mincho" w:hAnsi="Arial" w:cs="Arial"/>
          <w:b/>
          <w:bCs/>
          <w:vertAlign w:val="superscript"/>
          <w:lang w:eastAsia="ja-JP"/>
        </w:rPr>
        <w:t>th</w:t>
      </w:r>
      <w:r w:rsidR="005840CA" w:rsidRPr="00435F1E">
        <w:rPr>
          <w:rFonts w:ascii="Arial" w:eastAsia="MS Mincho" w:hAnsi="Arial" w:cs="Arial"/>
          <w:b/>
          <w:bCs/>
          <w:lang w:eastAsia="ja-JP"/>
        </w:rPr>
        <w:t>, 20</w:t>
      </w:r>
      <w:r w:rsidR="005840CA">
        <w:rPr>
          <w:rFonts w:ascii="Arial" w:eastAsia="MS Mincho" w:hAnsi="Arial" w:cs="Arial"/>
          <w:b/>
          <w:bCs/>
          <w:lang w:eastAsia="ja-JP"/>
        </w:rPr>
        <w:t>21</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1BCE293D" w:rsidR="00E90E49" w:rsidRPr="00764EBC" w:rsidRDefault="00E90E49" w:rsidP="00311702">
      <w:pPr>
        <w:pStyle w:val="3GPPHeader"/>
      </w:pPr>
      <w:r w:rsidRPr="00764EBC">
        <w:t>Agenda Item:</w:t>
      </w:r>
      <w:r w:rsidRPr="00764EBC">
        <w:tab/>
      </w:r>
      <w:r w:rsidR="004063E9">
        <w:t>8</w:t>
      </w:r>
      <w:r w:rsidR="006A276B">
        <w:t>.</w:t>
      </w:r>
      <w:r w:rsidR="00451B62">
        <w:t>10</w:t>
      </w:r>
      <w:r w:rsidR="00FB4B7B">
        <w:t>.3.3</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2BDC2C24" w:rsidR="00531215" w:rsidRPr="00764EBC" w:rsidRDefault="003D3C45" w:rsidP="00311702">
      <w:pPr>
        <w:pStyle w:val="3GPPHeader"/>
      </w:pPr>
      <w:r w:rsidRPr="00764EBC">
        <w:t>Title:</w:t>
      </w:r>
      <w:r w:rsidR="00E90E49" w:rsidRPr="00764EBC">
        <w:tab/>
      </w:r>
      <w:r w:rsidR="00530B88">
        <w:t xml:space="preserve">On Connected Mode Issues for NR NTN </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05E5CF06" w14:textId="71CA71EB" w:rsidR="001E7281" w:rsidRPr="009C0798" w:rsidRDefault="00925443" w:rsidP="009C0798">
      <w:pPr>
        <w:spacing w:after="180"/>
        <w:contextualSpacing/>
        <w:jc w:val="both"/>
        <w:rPr>
          <w:szCs w:val="20"/>
        </w:rPr>
      </w:pPr>
      <w:r>
        <w:t xml:space="preserve">One of the offshoots of RAN2-lead objectives in the NTN WID </w:t>
      </w:r>
      <w:r>
        <w:fldChar w:fldCharType="begin"/>
      </w:r>
      <w:r>
        <w:instrText xml:space="preserve"> REF _Ref30442809 \r \h </w:instrText>
      </w:r>
      <w:r>
        <w:fldChar w:fldCharType="separate"/>
      </w:r>
      <w:r>
        <w:t>[1]</w:t>
      </w:r>
      <w:r>
        <w:fldChar w:fldCharType="end"/>
      </w:r>
      <w:r>
        <w:t xml:space="preserve">, </w:t>
      </w:r>
      <w:r>
        <w:fldChar w:fldCharType="begin"/>
      </w:r>
      <w:r>
        <w:instrText xml:space="preserve"> REF _Ref46861923 \r \h </w:instrText>
      </w:r>
      <w:r>
        <w:fldChar w:fldCharType="separate"/>
      </w:r>
      <w:r>
        <w:t>[2]</w:t>
      </w:r>
      <w:r>
        <w:fldChar w:fldCharType="end"/>
      </w:r>
      <w:r>
        <w:t xml:space="preserve"> for NTN architectures is the use of earth fixed and earth mobile cells/beams being discussed in [3]. </w:t>
      </w:r>
      <w:r w:rsidR="00EC0D2F">
        <w:rPr>
          <w:szCs w:val="20"/>
        </w:rPr>
        <w:t xml:space="preserve">In this contribution, we </w:t>
      </w:r>
      <w:r w:rsidR="009C0798">
        <w:rPr>
          <w:szCs w:val="20"/>
        </w:rPr>
        <w:t>provide our views on th</w:t>
      </w:r>
      <w:r w:rsidR="00EE12BE">
        <w:rPr>
          <w:szCs w:val="20"/>
        </w:rPr>
        <w:t>e topic of conditional handovers</w:t>
      </w:r>
      <w:r w:rsidR="00B8599D">
        <w:rPr>
          <w:szCs w:val="20"/>
        </w:rPr>
        <w:t xml:space="preserve"> as discussed in [4]</w:t>
      </w:r>
      <w:r w:rsidR="00EE12BE">
        <w:rPr>
          <w:szCs w:val="20"/>
        </w:rPr>
        <w:t xml:space="preserve">. </w:t>
      </w:r>
      <w:r w:rsidR="004F5A72">
        <w:rPr>
          <w:szCs w:val="20"/>
        </w:rPr>
        <w:t xml:space="preserve"> </w:t>
      </w:r>
    </w:p>
    <w:p w14:paraId="0992D43A" w14:textId="2FAA70CF" w:rsidR="00614C18" w:rsidRPr="00614C18" w:rsidRDefault="00EA5A5B" w:rsidP="00614C18">
      <w:pPr>
        <w:pStyle w:val="Heading1"/>
      </w:pPr>
      <w:r>
        <w:t>Discussion</w:t>
      </w:r>
    </w:p>
    <w:p w14:paraId="4A55F573" w14:textId="2DEA1311" w:rsidR="00614C18" w:rsidRDefault="00EE12BE" w:rsidP="00163AAA">
      <w:pPr>
        <w:pStyle w:val="Heading2"/>
        <w:jc w:val="both"/>
      </w:pPr>
      <w:r>
        <w:t>Conditional Handovers as a way to mitigate</w:t>
      </w:r>
      <w:r w:rsidR="00292342">
        <w:t xml:space="preserve"> frequent handover load</w:t>
      </w:r>
    </w:p>
    <w:p w14:paraId="3D6B4A6B" w14:textId="77777777" w:rsidR="00211473" w:rsidRDefault="00614C18" w:rsidP="00C7182A">
      <w:pPr>
        <w:jc w:val="both"/>
      </w:pPr>
      <w:r w:rsidRPr="00614C18">
        <w:t xml:space="preserve">In </w:t>
      </w:r>
      <w:r w:rsidR="001C7199">
        <w:t>[4]</w:t>
      </w:r>
      <w:r>
        <w:t xml:space="preserve">, </w:t>
      </w:r>
      <w:r w:rsidR="001C7199">
        <w:t>3GPP RAN2 discussed five different conditional handover enhancement</w:t>
      </w:r>
      <w:r w:rsidR="00FB3CE2">
        <w:t>s</w:t>
      </w:r>
      <w:r w:rsidR="001C7199">
        <w:t xml:space="preserve"> that are useful to </w:t>
      </w:r>
      <w:r w:rsidR="00377726">
        <w:t xml:space="preserve">improving the overall signaling performance </w:t>
      </w:r>
      <w:r w:rsidR="00211473">
        <w:t xml:space="preserve">in connected mode </w:t>
      </w:r>
      <w:r w:rsidR="00377726">
        <w:t xml:space="preserve">of the NTN system in scenarios of constant </w:t>
      </w:r>
      <w:r w:rsidR="00FB3CE2">
        <w:t>change esp</w:t>
      </w:r>
      <w:r w:rsidR="00211473">
        <w:t>ecially</w:t>
      </w:r>
      <w:r w:rsidR="00FB3CE2">
        <w:t xml:space="preserve"> related to the LEO, MEO and HAPS architectures. </w:t>
      </w:r>
      <w:r w:rsidR="00211473">
        <w:t xml:space="preserve">Table 7.3.2.2.2-1 in [4] describes the pros and cons of these measurement-based, location-based, timer-based, TA-based and elevation-angle based CHO mechanisms in explicit detail. </w:t>
      </w:r>
    </w:p>
    <w:p w14:paraId="6145607B" w14:textId="77777777" w:rsidR="00211473" w:rsidRDefault="00211473" w:rsidP="00C7182A">
      <w:pPr>
        <w:jc w:val="both"/>
      </w:pPr>
    </w:p>
    <w:p w14:paraId="25530294" w14:textId="13B3A8E5" w:rsidR="007E6465" w:rsidRDefault="00211473" w:rsidP="00C7182A">
      <w:pPr>
        <w:jc w:val="both"/>
      </w:pPr>
      <w:r>
        <w:t xml:space="preserve">In this section, we re-analyze these mechanisms based on architectural choices of GEO, MEO, LEO and HAPS and try to gather more information that could be potentially useful in making additional judgements about the use of CHO process. The summary of this analysis is presented in Table 1. </w:t>
      </w:r>
      <w:r w:rsidR="001C7199">
        <w:t xml:space="preserve"> </w:t>
      </w:r>
    </w:p>
    <w:p w14:paraId="6E63234B" w14:textId="77777777" w:rsidR="00536E40" w:rsidRDefault="00536E40" w:rsidP="00C7182A">
      <w:pPr>
        <w:jc w:val="both"/>
      </w:pPr>
    </w:p>
    <w:p w14:paraId="3BC2692F" w14:textId="77777777" w:rsidR="007E6465" w:rsidRDefault="007E6465" w:rsidP="00614C18"/>
    <w:tbl>
      <w:tblPr>
        <w:tblW w:w="0" w:type="auto"/>
        <w:jc w:val="center"/>
        <w:tblCellMar>
          <w:left w:w="0" w:type="dxa"/>
          <w:right w:w="0" w:type="dxa"/>
        </w:tblCellMar>
        <w:tblLook w:val="04A0" w:firstRow="1" w:lastRow="0" w:firstColumn="1" w:lastColumn="0" w:noHBand="0" w:noVBand="1"/>
      </w:tblPr>
      <w:tblGrid>
        <w:gridCol w:w="1950"/>
        <w:gridCol w:w="1875"/>
        <w:gridCol w:w="1860"/>
      </w:tblGrid>
      <w:tr w:rsidR="00211473" w:rsidRPr="00211473" w14:paraId="6507F1B6" w14:textId="77777777" w:rsidTr="00211473">
        <w:trPr>
          <w:trHeight w:val="675"/>
          <w:jc w:val="center"/>
        </w:trPr>
        <w:tc>
          <w:tcPr>
            <w:tcW w:w="195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52A806BB" w14:textId="2E2D5B74"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8"/>
                <w:szCs w:val="18"/>
                <w:lang w:eastAsia="en-US"/>
              </w:rPr>
              <w:t xml:space="preserve">CHO </w:t>
            </w:r>
            <w:r w:rsidR="00536E40">
              <w:rPr>
                <w:rFonts w:ascii="Helvetica Neue" w:eastAsia="Times New Roman" w:hAnsi="Helvetica Neue"/>
                <w:b/>
                <w:bCs/>
                <w:color w:val="000000"/>
                <w:sz w:val="18"/>
                <w:szCs w:val="18"/>
                <w:lang w:eastAsia="en-US"/>
              </w:rPr>
              <w:t>Enhancement</w:t>
            </w:r>
          </w:p>
        </w:tc>
        <w:tc>
          <w:tcPr>
            <w:tcW w:w="187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1317145F" w14:textId="77777777"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8"/>
                <w:szCs w:val="18"/>
                <w:lang w:eastAsia="en-US"/>
              </w:rPr>
              <w:t>Potentially useful for configurations</w:t>
            </w:r>
          </w:p>
        </w:tc>
        <w:tc>
          <w:tcPr>
            <w:tcW w:w="172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77752B38" w14:textId="77777777"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8"/>
                <w:szCs w:val="18"/>
                <w:lang w:eastAsia="en-US"/>
              </w:rPr>
              <w:t>Potentially Not useful for configurations</w:t>
            </w:r>
          </w:p>
        </w:tc>
      </w:tr>
      <w:tr w:rsidR="00211473" w:rsidRPr="00211473" w14:paraId="06909E75" w14:textId="77777777" w:rsidTr="00211473">
        <w:trPr>
          <w:trHeight w:val="165"/>
          <w:jc w:val="center"/>
        </w:trPr>
        <w:tc>
          <w:tcPr>
            <w:tcW w:w="195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7CD0C262" w14:textId="77777777"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5"/>
                <w:szCs w:val="15"/>
                <w:lang w:eastAsia="en-US"/>
              </w:rPr>
              <w:t>Measurement-based</w:t>
            </w:r>
          </w:p>
        </w:tc>
        <w:tc>
          <w:tcPr>
            <w:tcW w:w="18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6FBE1FB0" w14:textId="5C37B862" w:rsidR="00211473" w:rsidRPr="00211473" w:rsidRDefault="00211473" w:rsidP="00211473">
            <w:pPr>
              <w:jc w:val="center"/>
              <w:rPr>
                <w:rFonts w:eastAsia="Times New Roman"/>
                <w:lang w:eastAsia="en-US"/>
              </w:rPr>
            </w:pPr>
            <w:r w:rsidRPr="00211473">
              <w:rPr>
                <w:rFonts w:ascii="Helvetica Neue" w:eastAsia="Times New Roman" w:hAnsi="Helvetica Neue"/>
                <w:color w:val="000000"/>
                <w:sz w:val="15"/>
                <w:szCs w:val="15"/>
                <w:lang w:eastAsia="en-US"/>
              </w:rPr>
              <w:t xml:space="preserve">GEO, </w:t>
            </w:r>
            <w:r w:rsidR="007D746A">
              <w:rPr>
                <w:rFonts w:ascii="Helvetica Neue" w:eastAsia="Times New Roman" w:hAnsi="Helvetica Neue"/>
                <w:color w:val="000000"/>
                <w:sz w:val="15"/>
                <w:szCs w:val="15"/>
                <w:lang w:eastAsia="en-US"/>
              </w:rPr>
              <w:t xml:space="preserve">LEO, </w:t>
            </w:r>
            <w:r w:rsidRPr="00211473">
              <w:rPr>
                <w:rFonts w:ascii="Helvetica Neue" w:eastAsia="Times New Roman" w:hAnsi="Helvetica Neue"/>
                <w:color w:val="000000"/>
                <w:sz w:val="15"/>
                <w:szCs w:val="15"/>
                <w:lang w:eastAsia="en-US"/>
              </w:rPr>
              <w:t>HAPS</w:t>
            </w:r>
          </w:p>
        </w:tc>
        <w:tc>
          <w:tcPr>
            <w:tcW w:w="1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6BD286F7" w14:textId="19649814" w:rsidR="00211473" w:rsidRPr="00211473" w:rsidRDefault="007D746A" w:rsidP="00211473">
            <w:pPr>
              <w:jc w:val="center"/>
              <w:rPr>
                <w:rFonts w:eastAsia="Times New Roman"/>
                <w:lang w:eastAsia="en-US"/>
              </w:rPr>
            </w:pPr>
            <w:r>
              <w:rPr>
                <w:rFonts w:ascii="Helvetica Neue" w:eastAsia="Times New Roman" w:hAnsi="Helvetica Neue"/>
                <w:color w:val="000000"/>
                <w:sz w:val="15"/>
                <w:szCs w:val="15"/>
                <w:lang w:eastAsia="en-US"/>
              </w:rPr>
              <w:t>-</w:t>
            </w:r>
          </w:p>
        </w:tc>
      </w:tr>
      <w:tr w:rsidR="00211473" w:rsidRPr="00211473" w14:paraId="19640FD4" w14:textId="77777777" w:rsidTr="00211473">
        <w:trPr>
          <w:trHeight w:val="180"/>
          <w:jc w:val="center"/>
        </w:trPr>
        <w:tc>
          <w:tcPr>
            <w:tcW w:w="195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751B9131" w14:textId="77777777"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5"/>
                <w:szCs w:val="15"/>
                <w:lang w:eastAsia="en-US"/>
              </w:rPr>
              <w:t>Location-based</w:t>
            </w:r>
          </w:p>
        </w:tc>
        <w:tc>
          <w:tcPr>
            <w:tcW w:w="18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D9E08D3" w14:textId="24A5F4DF" w:rsidR="00211473" w:rsidRPr="00211473" w:rsidRDefault="00211473" w:rsidP="00211473">
            <w:pPr>
              <w:jc w:val="center"/>
              <w:rPr>
                <w:rFonts w:eastAsia="Times New Roman"/>
                <w:lang w:eastAsia="en-US"/>
              </w:rPr>
            </w:pPr>
            <w:r w:rsidRPr="00211473">
              <w:rPr>
                <w:rFonts w:ascii="Helvetica Neue" w:eastAsia="Times New Roman" w:hAnsi="Helvetica Neue"/>
                <w:color w:val="000000"/>
                <w:sz w:val="15"/>
                <w:szCs w:val="15"/>
                <w:lang w:eastAsia="en-US"/>
              </w:rPr>
              <w:t>LEO</w:t>
            </w:r>
            <w:r w:rsidR="004940C9">
              <w:rPr>
                <w:rFonts w:ascii="Helvetica Neue" w:eastAsia="Times New Roman" w:hAnsi="Helvetica Neue"/>
                <w:color w:val="000000"/>
                <w:sz w:val="15"/>
                <w:szCs w:val="15"/>
                <w:lang w:eastAsia="en-US"/>
              </w:rPr>
              <w:t>, HAPS</w:t>
            </w:r>
          </w:p>
        </w:tc>
        <w:tc>
          <w:tcPr>
            <w:tcW w:w="1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2C56296" w14:textId="77777777" w:rsidR="00211473" w:rsidRPr="00211473" w:rsidRDefault="00211473" w:rsidP="00211473">
            <w:pPr>
              <w:jc w:val="center"/>
              <w:rPr>
                <w:rFonts w:eastAsia="Times New Roman"/>
                <w:lang w:eastAsia="en-US"/>
              </w:rPr>
            </w:pPr>
            <w:r w:rsidRPr="00211473">
              <w:rPr>
                <w:rFonts w:ascii="Helvetica Neue" w:eastAsia="Times New Roman" w:hAnsi="Helvetica Neue"/>
                <w:color w:val="000000"/>
                <w:sz w:val="15"/>
                <w:szCs w:val="15"/>
                <w:lang w:eastAsia="en-US"/>
              </w:rPr>
              <w:t>GEO</w:t>
            </w:r>
          </w:p>
        </w:tc>
      </w:tr>
      <w:tr w:rsidR="00211473" w:rsidRPr="00211473" w14:paraId="165EC371" w14:textId="77777777" w:rsidTr="00211473">
        <w:trPr>
          <w:trHeight w:val="180"/>
          <w:jc w:val="center"/>
        </w:trPr>
        <w:tc>
          <w:tcPr>
            <w:tcW w:w="195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2EBFEAE5" w14:textId="77777777"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5"/>
                <w:szCs w:val="15"/>
                <w:lang w:eastAsia="en-US"/>
              </w:rPr>
              <w:t>Timer-based</w:t>
            </w:r>
          </w:p>
        </w:tc>
        <w:tc>
          <w:tcPr>
            <w:tcW w:w="18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13A3137C" w14:textId="77777777" w:rsidR="00211473" w:rsidRPr="00211473" w:rsidRDefault="00211473" w:rsidP="00211473">
            <w:pPr>
              <w:jc w:val="center"/>
              <w:rPr>
                <w:rFonts w:eastAsia="Times New Roman"/>
                <w:lang w:eastAsia="en-US"/>
              </w:rPr>
            </w:pPr>
            <w:r w:rsidRPr="00211473">
              <w:rPr>
                <w:rFonts w:ascii="Helvetica Neue" w:eastAsia="Times New Roman" w:hAnsi="Helvetica Neue"/>
                <w:color w:val="000000"/>
                <w:sz w:val="15"/>
                <w:szCs w:val="15"/>
                <w:lang w:eastAsia="en-US"/>
              </w:rPr>
              <w:t>LEO</w:t>
            </w:r>
          </w:p>
        </w:tc>
        <w:tc>
          <w:tcPr>
            <w:tcW w:w="1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22F29AD" w14:textId="77777777" w:rsidR="00211473" w:rsidRPr="00211473" w:rsidRDefault="00211473" w:rsidP="00211473">
            <w:pPr>
              <w:rPr>
                <w:rFonts w:ascii="Helvetica" w:eastAsia="Times New Roman" w:hAnsi="Helvetica"/>
                <w:sz w:val="18"/>
                <w:szCs w:val="18"/>
                <w:lang w:eastAsia="en-US"/>
              </w:rPr>
            </w:pPr>
          </w:p>
        </w:tc>
      </w:tr>
      <w:tr w:rsidR="00211473" w:rsidRPr="00211473" w14:paraId="13B76651" w14:textId="77777777" w:rsidTr="00211473">
        <w:trPr>
          <w:trHeight w:val="360"/>
          <w:jc w:val="center"/>
        </w:trPr>
        <w:tc>
          <w:tcPr>
            <w:tcW w:w="195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4C7C879D" w14:textId="77777777"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5"/>
                <w:szCs w:val="15"/>
                <w:lang w:eastAsia="en-US"/>
              </w:rPr>
              <w:t>TA-based</w:t>
            </w:r>
          </w:p>
        </w:tc>
        <w:tc>
          <w:tcPr>
            <w:tcW w:w="3735" w:type="dxa"/>
            <w:gridSpan w:val="2"/>
            <w:tcBorders>
              <w:top w:val="single" w:sz="6" w:space="0" w:color="000000"/>
              <w:left w:val="single" w:sz="6" w:space="0" w:color="000000"/>
              <w:bottom w:val="single" w:sz="6" w:space="0" w:color="000000"/>
              <w:right w:val="single" w:sz="6" w:space="0" w:color="000000"/>
            </w:tcBorders>
            <w:shd w:val="clear" w:color="auto" w:fill="E6E6E6"/>
            <w:tcMar>
              <w:top w:w="60" w:type="dxa"/>
              <w:left w:w="60" w:type="dxa"/>
              <w:bottom w:w="60" w:type="dxa"/>
              <w:right w:w="60" w:type="dxa"/>
            </w:tcMar>
            <w:vAlign w:val="center"/>
            <w:hideMark/>
          </w:tcPr>
          <w:p w14:paraId="606B6966" w14:textId="5D502F90" w:rsidR="00211473" w:rsidRPr="00211473" w:rsidRDefault="00211473" w:rsidP="00211473">
            <w:pPr>
              <w:jc w:val="center"/>
              <w:rPr>
                <w:rFonts w:eastAsia="Times New Roman"/>
                <w:lang w:eastAsia="en-US"/>
              </w:rPr>
            </w:pPr>
            <w:r w:rsidRPr="00211473">
              <w:rPr>
                <w:rFonts w:ascii="Helvetica Neue" w:eastAsia="Times New Roman" w:hAnsi="Helvetica Neue"/>
                <w:color w:val="000000"/>
                <w:sz w:val="15"/>
                <w:szCs w:val="15"/>
                <w:lang w:eastAsia="en-US"/>
              </w:rPr>
              <w:t xml:space="preserve">All configurations but the requirement </w:t>
            </w:r>
            <w:r w:rsidR="002963AB" w:rsidRPr="00211473">
              <w:rPr>
                <w:rFonts w:ascii="Helvetica Neue" w:eastAsia="Times New Roman" w:hAnsi="Helvetica Neue"/>
                <w:color w:val="000000"/>
                <w:sz w:val="15"/>
                <w:szCs w:val="15"/>
                <w:lang w:eastAsia="en-US"/>
              </w:rPr>
              <w:t>is</w:t>
            </w:r>
            <w:r w:rsidRPr="00211473">
              <w:rPr>
                <w:rFonts w:ascii="Helvetica Neue" w:eastAsia="Times New Roman" w:hAnsi="Helvetica Neue"/>
                <w:color w:val="000000"/>
                <w:sz w:val="15"/>
                <w:szCs w:val="15"/>
                <w:lang w:eastAsia="en-US"/>
              </w:rPr>
              <w:t xml:space="preserve"> primarily for pre-compensation.</w:t>
            </w:r>
          </w:p>
        </w:tc>
      </w:tr>
      <w:tr w:rsidR="00211473" w:rsidRPr="00211473" w14:paraId="611B9356" w14:textId="77777777" w:rsidTr="00211473">
        <w:trPr>
          <w:trHeight w:val="165"/>
          <w:jc w:val="center"/>
        </w:trPr>
        <w:tc>
          <w:tcPr>
            <w:tcW w:w="195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7DDCF95A" w14:textId="77777777"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5"/>
                <w:szCs w:val="15"/>
                <w:lang w:eastAsia="en-US"/>
              </w:rPr>
              <w:t>Elevation-angle based</w:t>
            </w:r>
          </w:p>
        </w:tc>
        <w:tc>
          <w:tcPr>
            <w:tcW w:w="18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1570049" w14:textId="77777777" w:rsidR="00211473" w:rsidRPr="00211473" w:rsidRDefault="00211473" w:rsidP="00211473">
            <w:pPr>
              <w:jc w:val="center"/>
              <w:rPr>
                <w:rFonts w:eastAsia="Times New Roman"/>
                <w:lang w:eastAsia="en-US"/>
              </w:rPr>
            </w:pPr>
            <w:r w:rsidRPr="00211473">
              <w:rPr>
                <w:rFonts w:ascii="Helvetica Neue" w:eastAsia="Times New Roman" w:hAnsi="Helvetica Neue"/>
                <w:color w:val="000000"/>
                <w:sz w:val="15"/>
                <w:szCs w:val="15"/>
                <w:lang w:eastAsia="en-US"/>
              </w:rPr>
              <w:t>LEO, HAPS</w:t>
            </w:r>
          </w:p>
        </w:tc>
        <w:tc>
          <w:tcPr>
            <w:tcW w:w="1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1B2BD79" w14:textId="77777777" w:rsidR="00211473" w:rsidRPr="00211473" w:rsidRDefault="00211473" w:rsidP="00211473">
            <w:pPr>
              <w:jc w:val="center"/>
              <w:rPr>
                <w:rFonts w:eastAsia="Times New Roman"/>
                <w:lang w:eastAsia="en-US"/>
              </w:rPr>
            </w:pPr>
            <w:r w:rsidRPr="00211473">
              <w:rPr>
                <w:rFonts w:ascii="Helvetica Neue" w:eastAsia="Times New Roman" w:hAnsi="Helvetica Neue"/>
                <w:color w:val="000000"/>
                <w:sz w:val="15"/>
                <w:szCs w:val="15"/>
                <w:lang w:eastAsia="en-US"/>
              </w:rPr>
              <w:t>GEO</w:t>
            </w:r>
          </w:p>
        </w:tc>
      </w:tr>
    </w:tbl>
    <w:p w14:paraId="0399A91F" w14:textId="77777777" w:rsidR="00536E40" w:rsidRDefault="00536E40" w:rsidP="00536E40">
      <w:pPr>
        <w:jc w:val="center"/>
      </w:pPr>
    </w:p>
    <w:p w14:paraId="2DE9F903" w14:textId="6C4DE6BC" w:rsidR="007E6465" w:rsidRDefault="00536E40" w:rsidP="00536E40">
      <w:pPr>
        <w:jc w:val="center"/>
      </w:pPr>
      <w:r w:rsidRPr="00536E40">
        <w:rPr>
          <w:b/>
          <w:bCs/>
        </w:rPr>
        <w:t>Table 1.</w:t>
      </w:r>
      <w:r>
        <w:t xml:space="preserve"> Comparison of CHO enhancements for different satellite configurations</w:t>
      </w:r>
    </w:p>
    <w:p w14:paraId="0A655983" w14:textId="6D27B96C" w:rsidR="00536E40" w:rsidRDefault="00536E40" w:rsidP="00536E40">
      <w:pPr>
        <w:jc w:val="both"/>
      </w:pPr>
    </w:p>
    <w:p w14:paraId="28016556" w14:textId="29BFBDAB" w:rsidR="00536E40" w:rsidRDefault="00536E40" w:rsidP="007D746A">
      <w:pPr>
        <w:ind w:firstLine="567"/>
        <w:jc w:val="both"/>
      </w:pPr>
      <w:r>
        <w:t>Based on the table we have the following observation.</w:t>
      </w:r>
    </w:p>
    <w:p w14:paraId="3BDC194C" w14:textId="05C339BA" w:rsidR="00536E40" w:rsidRDefault="00536E40" w:rsidP="00536E40">
      <w:pPr>
        <w:jc w:val="both"/>
      </w:pPr>
    </w:p>
    <w:p w14:paraId="2D8A4221" w14:textId="2A30966E" w:rsidR="00536E40" w:rsidRDefault="00536E40" w:rsidP="00536E40">
      <w:pPr>
        <w:jc w:val="both"/>
        <w:rPr>
          <w:i/>
          <w:iCs/>
        </w:rPr>
      </w:pPr>
      <w:r w:rsidRPr="00536E40">
        <w:rPr>
          <w:b/>
          <w:bCs/>
          <w:i/>
          <w:iCs/>
          <w:u w:val="single"/>
        </w:rPr>
        <w:t>Observation 1:</w:t>
      </w:r>
      <w:r w:rsidRPr="00536E40">
        <w:rPr>
          <w:i/>
          <w:iCs/>
        </w:rPr>
        <w:t xml:space="preserve"> The new conditional handover enhancements proposed for NTN are not suitable to tackle all different satellite configurations. </w:t>
      </w:r>
    </w:p>
    <w:p w14:paraId="2507C9D6" w14:textId="7784FC2E" w:rsidR="004940C9" w:rsidRDefault="004940C9" w:rsidP="00536E40">
      <w:pPr>
        <w:jc w:val="both"/>
      </w:pPr>
    </w:p>
    <w:p w14:paraId="666D0825" w14:textId="77777777" w:rsidR="008E6B5C" w:rsidRDefault="008E6B5C" w:rsidP="008E6B5C">
      <w:pPr>
        <w:jc w:val="both"/>
        <w:rPr>
          <w:b/>
          <w:bCs/>
          <w:i/>
          <w:iCs/>
          <w:u w:val="single"/>
        </w:rPr>
      </w:pPr>
    </w:p>
    <w:p w14:paraId="10BD1882" w14:textId="336FFE0B" w:rsidR="008E6B5C" w:rsidRDefault="008E6B5C" w:rsidP="008E6B5C">
      <w:pPr>
        <w:jc w:val="both"/>
      </w:pPr>
      <w:r>
        <w:lastRenderedPageBreak/>
        <w:t>Further, with the proposals in R2-2105117</w:t>
      </w:r>
      <w:r w:rsidR="00275385">
        <w:t>[5]</w:t>
      </w:r>
      <w:r>
        <w:t>, there is no further need for the timer</w:t>
      </w:r>
      <w:r w:rsidR="00F77BC3">
        <w:t>-</w:t>
      </w:r>
      <w:r>
        <w:t xml:space="preserve">based or </w:t>
      </w:r>
      <w:r w:rsidR="00F77BC3">
        <w:t>location-based</w:t>
      </w:r>
      <w:r>
        <w:t xml:space="preserve"> </w:t>
      </w:r>
      <w:r w:rsidR="009268A3">
        <w:t>enhancements</w:t>
      </w:r>
      <w:r>
        <w:t xml:space="preserve"> for connected mode enhancements in NTN. </w:t>
      </w:r>
    </w:p>
    <w:p w14:paraId="0C5CA97F" w14:textId="77777777" w:rsidR="008E6B5C" w:rsidRPr="008E6B5C" w:rsidRDefault="008E6B5C" w:rsidP="008E6B5C">
      <w:pPr>
        <w:jc w:val="both"/>
      </w:pPr>
    </w:p>
    <w:p w14:paraId="6CD4A87B" w14:textId="506826E1" w:rsidR="008E6B5C" w:rsidRPr="00633628" w:rsidRDefault="008E6B5C" w:rsidP="008E6B5C">
      <w:pPr>
        <w:jc w:val="both"/>
        <w:rPr>
          <w:i/>
          <w:iCs/>
        </w:rPr>
      </w:pPr>
      <w:r w:rsidRPr="00633628">
        <w:rPr>
          <w:b/>
          <w:bCs/>
          <w:i/>
          <w:iCs/>
          <w:u w:val="single"/>
        </w:rPr>
        <w:t xml:space="preserve">Observation </w:t>
      </w:r>
      <w:r>
        <w:rPr>
          <w:b/>
          <w:bCs/>
          <w:i/>
          <w:iCs/>
          <w:u w:val="single"/>
        </w:rPr>
        <w:t>2</w:t>
      </w:r>
      <w:r w:rsidRPr="00633628">
        <w:rPr>
          <w:b/>
          <w:bCs/>
          <w:i/>
          <w:iCs/>
          <w:u w:val="single"/>
        </w:rPr>
        <w:t>:</w:t>
      </w:r>
      <w:r w:rsidRPr="00633628">
        <w:rPr>
          <w:i/>
          <w:iCs/>
        </w:rPr>
        <w:t xml:space="preserve"> With the availability of ephemeris at the UE and a potential mapping of satellite cell IDs to terrestrial cell IDs as explained in R2-2105117</w:t>
      </w:r>
      <w:r w:rsidR="00275385">
        <w:rPr>
          <w:i/>
          <w:iCs/>
        </w:rPr>
        <w:t>[5]</w:t>
      </w:r>
      <w:r w:rsidRPr="00633628">
        <w:rPr>
          <w:i/>
          <w:iCs/>
        </w:rPr>
        <w:t>, there is no further need of using location</w:t>
      </w:r>
      <w:r>
        <w:rPr>
          <w:i/>
          <w:iCs/>
        </w:rPr>
        <w:t xml:space="preserve"> based</w:t>
      </w:r>
      <w:r w:rsidRPr="00633628">
        <w:rPr>
          <w:i/>
          <w:iCs/>
        </w:rPr>
        <w:t xml:space="preserve"> or timer-based CHO and regular measurement based CHOs can be utilized. </w:t>
      </w:r>
    </w:p>
    <w:p w14:paraId="43CB6453" w14:textId="4D5A07AF" w:rsidR="008E6B5C" w:rsidRDefault="008E6B5C" w:rsidP="00536E40">
      <w:pPr>
        <w:jc w:val="both"/>
      </w:pPr>
    </w:p>
    <w:p w14:paraId="11E5B56B" w14:textId="6A992C88" w:rsidR="009268A3" w:rsidRDefault="009268A3" w:rsidP="00536E40">
      <w:pPr>
        <w:jc w:val="both"/>
      </w:pPr>
      <w:r>
        <w:t>We, therefore, have the following proposal.</w:t>
      </w:r>
    </w:p>
    <w:p w14:paraId="3B6FDC0F" w14:textId="77777777" w:rsidR="009268A3" w:rsidRDefault="009268A3" w:rsidP="00536E40">
      <w:pPr>
        <w:jc w:val="both"/>
      </w:pPr>
    </w:p>
    <w:p w14:paraId="393FD23F" w14:textId="114E51EC" w:rsidR="00633628" w:rsidRPr="009268A3" w:rsidRDefault="008E6B5C" w:rsidP="00536E40">
      <w:pPr>
        <w:jc w:val="both"/>
        <w:rPr>
          <w:i/>
          <w:iCs/>
        </w:rPr>
      </w:pPr>
      <w:r w:rsidRPr="008E6B5C">
        <w:rPr>
          <w:b/>
          <w:bCs/>
          <w:i/>
          <w:iCs/>
          <w:u w:val="single"/>
        </w:rPr>
        <w:t>Proposal 1:</w:t>
      </w:r>
      <w:r w:rsidRPr="008E6B5C">
        <w:rPr>
          <w:i/>
          <w:iCs/>
        </w:rPr>
        <w:t xml:space="preserve"> Measurement based CHO is prioritized over other mechanisms by RAN2 for NTN. </w:t>
      </w:r>
      <w:r w:rsidR="005D4C80" w:rsidRPr="008E6B5C">
        <w:rPr>
          <w:i/>
          <w:iCs/>
        </w:rPr>
        <w:t xml:space="preserve"> </w:t>
      </w:r>
    </w:p>
    <w:p w14:paraId="2896E657" w14:textId="2DF29AD0" w:rsidR="00854A60" w:rsidRPr="00A6576F" w:rsidRDefault="009C5A97" w:rsidP="00FB330B">
      <w:pPr>
        <w:pStyle w:val="Heading1"/>
      </w:pPr>
      <w:r w:rsidRPr="00A6576F">
        <w:t>Conclusion</w:t>
      </w:r>
    </w:p>
    <w:p w14:paraId="1C116919" w14:textId="65E58D3E"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5A5B57">
        <w:rPr>
          <w:szCs w:val="20"/>
        </w:rPr>
        <w:t>connected mode enhancements</w:t>
      </w:r>
      <w:r w:rsidR="009C0798">
        <w:rPr>
          <w:szCs w:val="20"/>
        </w:rPr>
        <w:t xml:space="preserve"> for NTN. </w:t>
      </w:r>
      <w:r w:rsidR="009C0798">
        <w:t xml:space="preserve">Our </w:t>
      </w:r>
      <w:r w:rsidR="00CA1D43">
        <w:t xml:space="preserve">observations and </w:t>
      </w:r>
      <w:r w:rsidR="009C0798">
        <w:t xml:space="preserve">proposals are as follows: </w:t>
      </w:r>
    </w:p>
    <w:p w14:paraId="30113A67" w14:textId="7D90E7B1" w:rsidR="00CA253C" w:rsidRDefault="00CA253C" w:rsidP="009C0798">
      <w:pPr>
        <w:jc w:val="both"/>
      </w:pPr>
    </w:p>
    <w:p w14:paraId="778D9B96" w14:textId="77777777" w:rsidR="001B58E5" w:rsidRDefault="001B58E5" w:rsidP="001B58E5">
      <w:pPr>
        <w:jc w:val="both"/>
        <w:rPr>
          <w:i/>
          <w:iCs/>
        </w:rPr>
      </w:pPr>
      <w:r w:rsidRPr="00536E40">
        <w:rPr>
          <w:b/>
          <w:bCs/>
          <w:i/>
          <w:iCs/>
          <w:u w:val="single"/>
        </w:rPr>
        <w:t>Observation 1:</w:t>
      </w:r>
      <w:r w:rsidRPr="00536E40">
        <w:rPr>
          <w:i/>
          <w:iCs/>
        </w:rPr>
        <w:t xml:space="preserve"> The new conditional handover enhancements proposed for NTN are not suitable to tackle all different satellite configurations. </w:t>
      </w:r>
    </w:p>
    <w:p w14:paraId="28468F74" w14:textId="77777777" w:rsidR="001B58E5" w:rsidRPr="008E6B5C" w:rsidRDefault="001B58E5" w:rsidP="001B58E5">
      <w:pPr>
        <w:jc w:val="both"/>
      </w:pPr>
    </w:p>
    <w:p w14:paraId="35FA0BB0" w14:textId="58B21C42" w:rsidR="001B58E5" w:rsidRPr="00633628" w:rsidRDefault="001B58E5" w:rsidP="001B58E5">
      <w:pPr>
        <w:jc w:val="both"/>
        <w:rPr>
          <w:i/>
          <w:iCs/>
        </w:rPr>
      </w:pPr>
      <w:r w:rsidRPr="00633628">
        <w:rPr>
          <w:b/>
          <w:bCs/>
          <w:i/>
          <w:iCs/>
          <w:u w:val="single"/>
        </w:rPr>
        <w:t xml:space="preserve">Observation </w:t>
      </w:r>
      <w:r>
        <w:rPr>
          <w:b/>
          <w:bCs/>
          <w:i/>
          <w:iCs/>
          <w:u w:val="single"/>
        </w:rPr>
        <w:t>2</w:t>
      </w:r>
      <w:r w:rsidRPr="00633628">
        <w:rPr>
          <w:b/>
          <w:bCs/>
          <w:i/>
          <w:iCs/>
          <w:u w:val="single"/>
        </w:rPr>
        <w:t>:</w:t>
      </w:r>
      <w:r w:rsidRPr="00633628">
        <w:rPr>
          <w:i/>
          <w:iCs/>
        </w:rPr>
        <w:t xml:space="preserve"> With the availability of ephemeris at the UE and a potential mapping of satellite cell IDs to terrestrial cell IDs as explained in R2-2105117</w:t>
      </w:r>
      <w:r w:rsidR="0059345B">
        <w:rPr>
          <w:i/>
          <w:iCs/>
        </w:rPr>
        <w:t>[5]</w:t>
      </w:r>
      <w:r w:rsidRPr="00633628">
        <w:rPr>
          <w:i/>
          <w:iCs/>
        </w:rPr>
        <w:t>, there is no further need of using location</w:t>
      </w:r>
      <w:r>
        <w:rPr>
          <w:i/>
          <w:iCs/>
        </w:rPr>
        <w:t xml:space="preserve"> based</w:t>
      </w:r>
      <w:r w:rsidRPr="00633628">
        <w:rPr>
          <w:i/>
          <w:iCs/>
        </w:rPr>
        <w:t xml:space="preserve"> or timer-based CHO and regular measurement based CHOs can be utilized. </w:t>
      </w:r>
    </w:p>
    <w:p w14:paraId="443DAF00" w14:textId="77777777" w:rsidR="001B58E5" w:rsidRDefault="001B58E5" w:rsidP="001B58E5">
      <w:pPr>
        <w:jc w:val="both"/>
      </w:pPr>
    </w:p>
    <w:p w14:paraId="64E368F1" w14:textId="0D6F67E6" w:rsidR="000700F0" w:rsidRDefault="001B58E5" w:rsidP="001B58E5">
      <w:pPr>
        <w:rPr>
          <w:i/>
          <w:iCs/>
        </w:rPr>
      </w:pPr>
      <w:r w:rsidRPr="008E6B5C">
        <w:rPr>
          <w:b/>
          <w:bCs/>
          <w:i/>
          <w:iCs/>
          <w:u w:val="single"/>
        </w:rPr>
        <w:t>Proposal 1:</w:t>
      </w:r>
      <w:r w:rsidRPr="008E6B5C">
        <w:rPr>
          <w:i/>
          <w:iCs/>
        </w:rPr>
        <w:t xml:space="preserve"> Measurement based CHO is prioritized over other mechanisms by RAN2 for NTN.</w:t>
      </w:r>
    </w:p>
    <w:p w14:paraId="2E75F001" w14:textId="77777777" w:rsidR="007E70BB" w:rsidRPr="00A6576F" w:rsidRDefault="005C63AE" w:rsidP="007E70BB">
      <w:pPr>
        <w:pStyle w:val="Heading1"/>
      </w:pPr>
      <w:r w:rsidRPr="00A6576F">
        <w:t>References</w:t>
      </w:r>
    </w:p>
    <w:p w14:paraId="5A794FC7" w14:textId="77777777" w:rsidR="00925443" w:rsidRDefault="00925443" w:rsidP="0092544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7AF66439" w14:textId="77777777" w:rsidR="00925443" w:rsidRDefault="00925443" w:rsidP="0092544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596FE43A" w14:textId="38EB4E15" w:rsidR="00925443" w:rsidRDefault="00925443" w:rsidP="0092544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 Email discussions, [Post111-e#</w:t>
      </w:r>
      <w:proofErr w:type="gramStart"/>
      <w:r>
        <w:t>911][</w:t>
      </w:r>
      <w:proofErr w:type="gramEnd"/>
      <w:r>
        <w:t>NTN] Connected Mode Aspects (ZTE)</w:t>
      </w:r>
    </w:p>
    <w:p w14:paraId="34937949" w14:textId="50FF5BE8" w:rsidR="00925443" w:rsidRDefault="00925443" w:rsidP="0092544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TR 38.821, Solution for NR to support non terrestrial networks (NTN), v. 16.2.0, Dec. 2019.</w:t>
      </w:r>
      <w:bookmarkEnd w:id="4"/>
      <w:bookmarkEnd w:id="5"/>
    </w:p>
    <w:p w14:paraId="6F75A7A6" w14:textId="51BFE5FE" w:rsidR="00754135" w:rsidRDefault="00754135" w:rsidP="0092544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 xml:space="preserve">R2-2105117, “Satellite Cell ID Mapping to Earth Fixed Locations for efficient cell selection and Cell Re-selection in NTN”, Apple, May. 2021. </w:t>
      </w:r>
    </w:p>
    <w:p w14:paraId="3AA65526" w14:textId="0E6FDEE6" w:rsidR="00131F95" w:rsidRDefault="00131F95" w:rsidP="003D0846">
      <w:pPr>
        <w:overflowPunct w:val="0"/>
        <w:autoSpaceDE w:val="0"/>
        <w:autoSpaceDN w:val="0"/>
        <w:adjustRightInd w:val="0"/>
        <w:spacing w:before="100" w:beforeAutospacing="1" w:after="120"/>
        <w:jc w:val="both"/>
        <w:textAlignment w:val="baseline"/>
      </w:pPr>
    </w:p>
    <w:sectPr w:rsidR="00131F95"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73A72" w14:textId="77777777" w:rsidR="00B44396" w:rsidRDefault="00B44396">
      <w:r>
        <w:separator/>
      </w:r>
    </w:p>
  </w:endnote>
  <w:endnote w:type="continuationSeparator" w:id="0">
    <w:p w14:paraId="36D4A5E0" w14:textId="77777777" w:rsidR="00B44396" w:rsidRDefault="00B44396">
      <w:r>
        <w:continuationSeparator/>
      </w:r>
    </w:p>
  </w:endnote>
  <w:endnote w:type="continuationNotice" w:id="1">
    <w:p w14:paraId="05161618" w14:textId="77777777" w:rsidR="00B44396" w:rsidRDefault="00B443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C32E9" w14:textId="77777777" w:rsidR="00B44396" w:rsidRDefault="00B44396">
      <w:r>
        <w:separator/>
      </w:r>
    </w:p>
  </w:footnote>
  <w:footnote w:type="continuationSeparator" w:id="0">
    <w:p w14:paraId="7417ADFD" w14:textId="77777777" w:rsidR="00B44396" w:rsidRDefault="00B44396">
      <w:r>
        <w:continuationSeparator/>
      </w:r>
    </w:p>
  </w:footnote>
  <w:footnote w:type="continuationNotice" w:id="1">
    <w:p w14:paraId="3F2066C5" w14:textId="77777777" w:rsidR="00B44396" w:rsidRDefault="00B443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16"/>
  </w:num>
  <w:num w:numId="10">
    <w:abstractNumId w:val="0"/>
  </w:num>
  <w:num w:numId="11">
    <w:abstractNumId w:val="21"/>
  </w:num>
  <w:num w:numId="12">
    <w:abstractNumId w:val="3"/>
  </w:num>
  <w:num w:numId="13">
    <w:abstractNumId w:val="18"/>
  </w:num>
  <w:num w:numId="14">
    <w:abstractNumId w:val="13"/>
  </w:num>
  <w:num w:numId="15">
    <w:abstractNumId w:val="22"/>
  </w:num>
  <w:num w:numId="16">
    <w:abstractNumId w:val="23"/>
  </w:num>
  <w:num w:numId="17">
    <w:abstractNumId w:val="7"/>
  </w:num>
  <w:num w:numId="18">
    <w:abstractNumId w:val="20"/>
  </w:num>
  <w:num w:numId="19">
    <w:abstractNumId w:val="10"/>
  </w:num>
  <w:num w:numId="20">
    <w:abstractNumId w:val="6"/>
  </w:num>
  <w:num w:numId="21">
    <w:abstractNumId w:val="17"/>
  </w:num>
  <w:num w:numId="22">
    <w:abstractNumId w:val="4"/>
  </w:num>
  <w:num w:numId="23">
    <w:abstractNumId w:val="5"/>
  </w:num>
  <w:num w:numId="2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4FA6"/>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E8D"/>
    <w:rsid w:val="00064085"/>
    <w:rsid w:val="0006487E"/>
    <w:rsid w:val="000650C1"/>
    <w:rsid w:val="00065E1A"/>
    <w:rsid w:val="000668B8"/>
    <w:rsid w:val="00067759"/>
    <w:rsid w:val="000700F0"/>
    <w:rsid w:val="000707A2"/>
    <w:rsid w:val="000708A3"/>
    <w:rsid w:val="00071F96"/>
    <w:rsid w:val="000721FE"/>
    <w:rsid w:val="00072B34"/>
    <w:rsid w:val="0007330B"/>
    <w:rsid w:val="00075AB6"/>
    <w:rsid w:val="00075C5D"/>
    <w:rsid w:val="0007717C"/>
    <w:rsid w:val="00077B17"/>
    <w:rsid w:val="00077D33"/>
    <w:rsid w:val="00077D52"/>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891"/>
    <w:rsid w:val="000B24E9"/>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9D1"/>
    <w:rsid w:val="00100D9C"/>
    <w:rsid w:val="001012B0"/>
    <w:rsid w:val="00102304"/>
    <w:rsid w:val="0010423D"/>
    <w:rsid w:val="0010434A"/>
    <w:rsid w:val="001045CC"/>
    <w:rsid w:val="00104969"/>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079"/>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9FB"/>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41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70A8"/>
    <w:rsid w:val="00177795"/>
    <w:rsid w:val="001801A7"/>
    <w:rsid w:val="00180B4A"/>
    <w:rsid w:val="001813D1"/>
    <w:rsid w:val="0018143F"/>
    <w:rsid w:val="001815BA"/>
    <w:rsid w:val="001815DD"/>
    <w:rsid w:val="00181A6B"/>
    <w:rsid w:val="00182925"/>
    <w:rsid w:val="001836C2"/>
    <w:rsid w:val="001836F6"/>
    <w:rsid w:val="00183ED8"/>
    <w:rsid w:val="00184052"/>
    <w:rsid w:val="00184A9B"/>
    <w:rsid w:val="00185B37"/>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D4A"/>
    <w:rsid w:val="001A6173"/>
    <w:rsid w:val="001A6657"/>
    <w:rsid w:val="001A68D9"/>
    <w:rsid w:val="001A6CBA"/>
    <w:rsid w:val="001A6EE8"/>
    <w:rsid w:val="001A6F73"/>
    <w:rsid w:val="001A715A"/>
    <w:rsid w:val="001A743D"/>
    <w:rsid w:val="001A7ADE"/>
    <w:rsid w:val="001B0806"/>
    <w:rsid w:val="001B0D97"/>
    <w:rsid w:val="001B1356"/>
    <w:rsid w:val="001B14F9"/>
    <w:rsid w:val="001B1528"/>
    <w:rsid w:val="001B25E5"/>
    <w:rsid w:val="001B274D"/>
    <w:rsid w:val="001B2998"/>
    <w:rsid w:val="001B4453"/>
    <w:rsid w:val="001B49EC"/>
    <w:rsid w:val="001B52BA"/>
    <w:rsid w:val="001B5530"/>
    <w:rsid w:val="001B58E5"/>
    <w:rsid w:val="001B59DA"/>
    <w:rsid w:val="001B5A5D"/>
    <w:rsid w:val="001B612E"/>
    <w:rsid w:val="001B6813"/>
    <w:rsid w:val="001B68B3"/>
    <w:rsid w:val="001B796C"/>
    <w:rsid w:val="001B7A0B"/>
    <w:rsid w:val="001B7F5A"/>
    <w:rsid w:val="001C0105"/>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19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10"/>
    <w:rsid w:val="001E44E6"/>
    <w:rsid w:val="001E58DD"/>
    <w:rsid w:val="001E58E2"/>
    <w:rsid w:val="001E6091"/>
    <w:rsid w:val="001E7281"/>
    <w:rsid w:val="001E7AED"/>
    <w:rsid w:val="001F0636"/>
    <w:rsid w:val="001F07D8"/>
    <w:rsid w:val="001F087C"/>
    <w:rsid w:val="001F0B22"/>
    <w:rsid w:val="001F1025"/>
    <w:rsid w:val="001F1233"/>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E2E"/>
    <w:rsid w:val="00207FA3"/>
    <w:rsid w:val="00210AA7"/>
    <w:rsid w:val="00211473"/>
    <w:rsid w:val="002126E8"/>
    <w:rsid w:val="00213283"/>
    <w:rsid w:val="00213867"/>
    <w:rsid w:val="00213E1E"/>
    <w:rsid w:val="00214046"/>
    <w:rsid w:val="0021495B"/>
    <w:rsid w:val="00214DA8"/>
    <w:rsid w:val="00215423"/>
    <w:rsid w:val="002158FA"/>
    <w:rsid w:val="00215A53"/>
    <w:rsid w:val="00215D1D"/>
    <w:rsid w:val="00215EFE"/>
    <w:rsid w:val="00215FE0"/>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6BF"/>
    <w:rsid w:val="00237BC1"/>
    <w:rsid w:val="00237F50"/>
    <w:rsid w:val="00240D0C"/>
    <w:rsid w:val="00241559"/>
    <w:rsid w:val="0024169E"/>
    <w:rsid w:val="00241725"/>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385"/>
    <w:rsid w:val="0027544A"/>
    <w:rsid w:val="00275549"/>
    <w:rsid w:val="0027586B"/>
    <w:rsid w:val="00276B58"/>
    <w:rsid w:val="0027777C"/>
    <w:rsid w:val="00277F45"/>
    <w:rsid w:val="002802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342"/>
    <w:rsid w:val="0029273A"/>
    <w:rsid w:val="00292E06"/>
    <w:rsid w:val="00292EB7"/>
    <w:rsid w:val="0029321E"/>
    <w:rsid w:val="002940D2"/>
    <w:rsid w:val="002941E2"/>
    <w:rsid w:val="00296227"/>
    <w:rsid w:val="002963AB"/>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666"/>
    <w:rsid w:val="0030501F"/>
    <w:rsid w:val="00305075"/>
    <w:rsid w:val="003051A7"/>
    <w:rsid w:val="00305473"/>
    <w:rsid w:val="00306F4A"/>
    <w:rsid w:val="003072CB"/>
    <w:rsid w:val="00307BA1"/>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27FCC"/>
    <w:rsid w:val="00330006"/>
    <w:rsid w:val="00330033"/>
    <w:rsid w:val="00330734"/>
    <w:rsid w:val="00331751"/>
    <w:rsid w:val="00331DE4"/>
    <w:rsid w:val="00331EEB"/>
    <w:rsid w:val="00332CE9"/>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4A96"/>
    <w:rsid w:val="00365B20"/>
    <w:rsid w:val="0036688E"/>
    <w:rsid w:val="003670C4"/>
    <w:rsid w:val="00370E47"/>
    <w:rsid w:val="00372570"/>
    <w:rsid w:val="0037322F"/>
    <w:rsid w:val="0037323B"/>
    <w:rsid w:val="00374042"/>
    <w:rsid w:val="003742AC"/>
    <w:rsid w:val="00376A1A"/>
    <w:rsid w:val="00376B9D"/>
    <w:rsid w:val="00377726"/>
    <w:rsid w:val="00377CE1"/>
    <w:rsid w:val="003807F1"/>
    <w:rsid w:val="003815BB"/>
    <w:rsid w:val="0038168D"/>
    <w:rsid w:val="00381B7D"/>
    <w:rsid w:val="003820EA"/>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846"/>
    <w:rsid w:val="003D0FDB"/>
    <w:rsid w:val="003D109F"/>
    <w:rsid w:val="003D2478"/>
    <w:rsid w:val="003D2941"/>
    <w:rsid w:val="003D2DDC"/>
    <w:rsid w:val="003D2FC4"/>
    <w:rsid w:val="003D3279"/>
    <w:rsid w:val="003D33CE"/>
    <w:rsid w:val="003D3866"/>
    <w:rsid w:val="003D3C45"/>
    <w:rsid w:val="003D40F8"/>
    <w:rsid w:val="003D47C1"/>
    <w:rsid w:val="003D4ECB"/>
    <w:rsid w:val="003D55E2"/>
    <w:rsid w:val="003D5B1F"/>
    <w:rsid w:val="003D6FCA"/>
    <w:rsid w:val="003D761D"/>
    <w:rsid w:val="003D7625"/>
    <w:rsid w:val="003D7A25"/>
    <w:rsid w:val="003D7DE0"/>
    <w:rsid w:val="003E018B"/>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A79"/>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584A"/>
    <w:rsid w:val="00426762"/>
    <w:rsid w:val="00427248"/>
    <w:rsid w:val="004272E5"/>
    <w:rsid w:val="00427D2C"/>
    <w:rsid w:val="004311DF"/>
    <w:rsid w:val="0043149A"/>
    <w:rsid w:val="00431986"/>
    <w:rsid w:val="00431CCC"/>
    <w:rsid w:val="00431DFF"/>
    <w:rsid w:val="00431F63"/>
    <w:rsid w:val="004323FC"/>
    <w:rsid w:val="0043269E"/>
    <w:rsid w:val="004336FF"/>
    <w:rsid w:val="00433FC2"/>
    <w:rsid w:val="004346AB"/>
    <w:rsid w:val="0043585E"/>
    <w:rsid w:val="004358F5"/>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47E09"/>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386"/>
    <w:rsid w:val="00472D9C"/>
    <w:rsid w:val="004734D0"/>
    <w:rsid w:val="004737F0"/>
    <w:rsid w:val="00473C75"/>
    <w:rsid w:val="00474096"/>
    <w:rsid w:val="004744C0"/>
    <w:rsid w:val="00474E43"/>
    <w:rsid w:val="0047525B"/>
    <w:rsid w:val="0047556B"/>
    <w:rsid w:val="00475C6C"/>
    <w:rsid w:val="0047631A"/>
    <w:rsid w:val="004765C1"/>
    <w:rsid w:val="00476929"/>
    <w:rsid w:val="00477768"/>
    <w:rsid w:val="004778F1"/>
    <w:rsid w:val="004808FD"/>
    <w:rsid w:val="004821D5"/>
    <w:rsid w:val="004824B0"/>
    <w:rsid w:val="004829F1"/>
    <w:rsid w:val="00482AAD"/>
    <w:rsid w:val="00482EA5"/>
    <w:rsid w:val="00483127"/>
    <w:rsid w:val="00483897"/>
    <w:rsid w:val="004843B1"/>
    <w:rsid w:val="004843F2"/>
    <w:rsid w:val="00484649"/>
    <w:rsid w:val="00484CFB"/>
    <w:rsid w:val="004853CE"/>
    <w:rsid w:val="00485A5D"/>
    <w:rsid w:val="0048618E"/>
    <w:rsid w:val="004865E7"/>
    <w:rsid w:val="00487488"/>
    <w:rsid w:val="00487499"/>
    <w:rsid w:val="004877E2"/>
    <w:rsid w:val="00490604"/>
    <w:rsid w:val="00492BC5"/>
    <w:rsid w:val="004933EA"/>
    <w:rsid w:val="00493425"/>
    <w:rsid w:val="00493DBE"/>
    <w:rsid w:val="00493FED"/>
    <w:rsid w:val="004940C9"/>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5AA4"/>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69"/>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19BD"/>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2C3"/>
    <w:rsid w:val="00502A17"/>
    <w:rsid w:val="00502F34"/>
    <w:rsid w:val="00503108"/>
    <w:rsid w:val="005035B7"/>
    <w:rsid w:val="0050379C"/>
    <w:rsid w:val="00503ED3"/>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6D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D06"/>
    <w:rsid w:val="00527463"/>
    <w:rsid w:val="00530B45"/>
    <w:rsid w:val="00530B88"/>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69C"/>
    <w:rsid w:val="00536759"/>
    <w:rsid w:val="00536D1C"/>
    <w:rsid w:val="00536E40"/>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4CE"/>
    <w:rsid w:val="0054458B"/>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069"/>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23"/>
    <w:rsid w:val="00577BB1"/>
    <w:rsid w:val="0058169C"/>
    <w:rsid w:val="0058172D"/>
    <w:rsid w:val="00581F3E"/>
    <w:rsid w:val="00582809"/>
    <w:rsid w:val="00582E08"/>
    <w:rsid w:val="00582E97"/>
    <w:rsid w:val="00583C22"/>
    <w:rsid w:val="00583C62"/>
    <w:rsid w:val="005840CA"/>
    <w:rsid w:val="00584529"/>
    <w:rsid w:val="00584668"/>
    <w:rsid w:val="00585462"/>
    <w:rsid w:val="00586FEE"/>
    <w:rsid w:val="005876D0"/>
    <w:rsid w:val="0058798C"/>
    <w:rsid w:val="005900FA"/>
    <w:rsid w:val="005901CF"/>
    <w:rsid w:val="00590855"/>
    <w:rsid w:val="00591ADF"/>
    <w:rsid w:val="00591C56"/>
    <w:rsid w:val="00591D01"/>
    <w:rsid w:val="00591F85"/>
    <w:rsid w:val="0059345B"/>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5B57"/>
    <w:rsid w:val="005A6354"/>
    <w:rsid w:val="005A64F1"/>
    <w:rsid w:val="005A662D"/>
    <w:rsid w:val="005A74A1"/>
    <w:rsid w:val="005A75A3"/>
    <w:rsid w:val="005B0C8B"/>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CF8"/>
    <w:rsid w:val="005D2963"/>
    <w:rsid w:val="005D304C"/>
    <w:rsid w:val="005D382E"/>
    <w:rsid w:val="005D3A41"/>
    <w:rsid w:val="005D439C"/>
    <w:rsid w:val="005D472A"/>
    <w:rsid w:val="005D4766"/>
    <w:rsid w:val="005D4C80"/>
    <w:rsid w:val="005D528E"/>
    <w:rsid w:val="005D542C"/>
    <w:rsid w:val="005D5D93"/>
    <w:rsid w:val="005D5DB5"/>
    <w:rsid w:val="005D610B"/>
    <w:rsid w:val="005D67F9"/>
    <w:rsid w:val="005D72CB"/>
    <w:rsid w:val="005D7561"/>
    <w:rsid w:val="005D76E4"/>
    <w:rsid w:val="005D775D"/>
    <w:rsid w:val="005D7E6C"/>
    <w:rsid w:val="005E07ED"/>
    <w:rsid w:val="005E1C98"/>
    <w:rsid w:val="005E2259"/>
    <w:rsid w:val="005E385F"/>
    <w:rsid w:val="005E3944"/>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32B"/>
    <w:rsid w:val="006268AF"/>
    <w:rsid w:val="006268C6"/>
    <w:rsid w:val="00626E34"/>
    <w:rsid w:val="0062725B"/>
    <w:rsid w:val="006273B1"/>
    <w:rsid w:val="0062780F"/>
    <w:rsid w:val="00627E3E"/>
    <w:rsid w:val="00627EC1"/>
    <w:rsid w:val="00630001"/>
    <w:rsid w:val="00630780"/>
    <w:rsid w:val="00630837"/>
    <w:rsid w:val="00631012"/>
    <w:rsid w:val="006311B3"/>
    <w:rsid w:val="0063157F"/>
    <w:rsid w:val="00631D00"/>
    <w:rsid w:val="006326B6"/>
    <w:rsid w:val="0063284C"/>
    <w:rsid w:val="00632EA7"/>
    <w:rsid w:val="0063337E"/>
    <w:rsid w:val="0063340A"/>
    <w:rsid w:val="00633628"/>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2FA4"/>
    <w:rsid w:val="006741D6"/>
    <w:rsid w:val="006741F2"/>
    <w:rsid w:val="00674CC3"/>
    <w:rsid w:val="00675C72"/>
    <w:rsid w:val="00676901"/>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5B2"/>
    <w:rsid w:val="00686BEA"/>
    <w:rsid w:val="006874FF"/>
    <w:rsid w:val="0069099B"/>
    <w:rsid w:val="00691D35"/>
    <w:rsid w:val="00692288"/>
    <w:rsid w:val="006928C1"/>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3AB"/>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A4C"/>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2B9"/>
    <w:rsid w:val="006F5639"/>
    <w:rsid w:val="006F58D4"/>
    <w:rsid w:val="006F5AF6"/>
    <w:rsid w:val="006F5C2C"/>
    <w:rsid w:val="006F6843"/>
    <w:rsid w:val="006F6A00"/>
    <w:rsid w:val="006F74C2"/>
    <w:rsid w:val="006F794B"/>
    <w:rsid w:val="006F7E6F"/>
    <w:rsid w:val="006F7F75"/>
    <w:rsid w:val="00700F32"/>
    <w:rsid w:val="00701BC8"/>
    <w:rsid w:val="00701EAD"/>
    <w:rsid w:val="00701FE4"/>
    <w:rsid w:val="00702B6B"/>
    <w:rsid w:val="0070327E"/>
    <w:rsid w:val="0070346E"/>
    <w:rsid w:val="00703FCF"/>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22C"/>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109"/>
    <w:rsid w:val="00746B70"/>
    <w:rsid w:val="007472B6"/>
    <w:rsid w:val="007474EC"/>
    <w:rsid w:val="00747BA4"/>
    <w:rsid w:val="00747D8B"/>
    <w:rsid w:val="00750FA1"/>
    <w:rsid w:val="00751228"/>
    <w:rsid w:val="007515ED"/>
    <w:rsid w:val="0075190A"/>
    <w:rsid w:val="00752885"/>
    <w:rsid w:val="007529C3"/>
    <w:rsid w:val="00753850"/>
    <w:rsid w:val="00754135"/>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1E38"/>
    <w:rsid w:val="007A2CF7"/>
    <w:rsid w:val="007A306F"/>
    <w:rsid w:val="007A3472"/>
    <w:rsid w:val="007A3BE5"/>
    <w:rsid w:val="007A3C8F"/>
    <w:rsid w:val="007A4023"/>
    <w:rsid w:val="007A43A6"/>
    <w:rsid w:val="007A4A85"/>
    <w:rsid w:val="007A55EF"/>
    <w:rsid w:val="007A58A6"/>
    <w:rsid w:val="007A6600"/>
    <w:rsid w:val="007A7202"/>
    <w:rsid w:val="007A7354"/>
    <w:rsid w:val="007A7C57"/>
    <w:rsid w:val="007B0C6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4EFE"/>
    <w:rsid w:val="007D5309"/>
    <w:rsid w:val="007D58B4"/>
    <w:rsid w:val="007D5901"/>
    <w:rsid w:val="007D59FE"/>
    <w:rsid w:val="007D62AF"/>
    <w:rsid w:val="007D632D"/>
    <w:rsid w:val="007D6E5F"/>
    <w:rsid w:val="007D746A"/>
    <w:rsid w:val="007D7526"/>
    <w:rsid w:val="007D763B"/>
    <w:rsid w:val="007D7FA4"/>
    <w:rsid w:val="007E0364"/>
    <w:rsid w:val="007E0580"/>
    <w:rsid w:val="007E06C7"/>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465"/>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49CA"/>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5273"/>
    <w:rsid w:val="00815659"/>
    <w:rsid w:val="008158D6"/>
    <w:rsid w:val="00815BC6"/>
    <w:rsid w:val="008161F8"/>
    <w:rsid w:val="00817196"/>
    <w:rsid w:val="00817724"/>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6FE9"/>
    <w:rsid w:val="00847424"/>
    <w:rsid w:val="00847574"/>
    <w:rsid w:val="0084761B"/>
    <w:rsid w:val="008477CD"/>
    <w:rsid w:val="00847870"/>
    <w:rsid w:val="008479B5"/>
    <w:rsid w:val="00847E30"/>
    <w:rsid w:val="00850CEC"/>
    <w:rsid w:val="008524D1"/>
    <w:rsid w:val="00852C9F"/>
    <w:rsid w:val="00854839"/>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57D"/>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18B"/>
    <w:rsid w:val="008A1C20"/>
    <w:rsid w:val="008A21F2"/>
    <w:rsid w:val="008A21FF"/>
    <w:rsid w:val="008A2857"/>
    <w:rsid w:val="008A2CE2"/>
    <w:rsid w:val="008A30AC"/>
    <w:rsid w:val="008A4052"/>
    <w:rsid w:val="008A4096"/>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613"/>
    <w:rsid w:val="008C08FC"/>
    <w:rsid w:val="008C0C99"/>
    <w:rsid w:val="008C1588"/>
    <w:rsid w:val="008C16F3"/>
    <w:rsid w:val="008C18D4"/>
    <w:rsid w:val="008C2017"/>
    <w:rsid w:val="008C256E"/>
    <w:rsid w:val="008C28CA"/>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42B0"/>
    <w:rsid w:val="008E482B"/>
    <w:rsid w:val="008E4CA5"/>
    <w:rsid w:val="008E5FD1"/>
    <w:rsid w:val="008E6605"/>
    <w:rsid w:val="008E6B5C"/>
    <w:rsid w:val="008F10E9"/>
    <w:rsid w:val="008F1A19"/>
    <w:rsid w:val="008F1C35"/>
    <w:rsid w:val="008F1CF9"/>
    <w:rsid w:val="008F1D4D"/>
    <w:rsid w:val="008F1EAB"/>
    <w:rsid w:val="008F203D"/>
    <w:rsid w:val="008F32C3"/>
    <w:rsid w:val="008F33DC"/>
    <w:rsid w:val="008F3989"/>
    <w:rsid w:val="008F3DA0"/>
    <w:rsid w:val="008F477F"/>
    <w:rsid w:val="008F4DD1"/>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6B5C"/>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443"/>
    <w:rsid w:val="009268A3"/>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E00"/>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2EC8"/>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5CF2"/>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200"/>
    <w:rsid w:val="009F5E13"/>
    <w:rsid w:val="009F5E2F"/>
    <w:rsid w:val="009F5EAE"/>
    <w:rsid w:val="009F7114"/>
    <w:rsid w:val="009F7437"/>
    <w:rsid w:val="009F7F7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D8D"/>
    <w:rsid w:val="00A55B22"/>
    <w:rsid w:val="00A55B28"/>
    <w:rsid w:val="00A5629A"/>
    <w:rsid w:val="00A56798"/>
    <w:rsid w:val="00A56F4C"/>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92F"/>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A10"/>
    <w:rsid w:val="00AC675A"/>
    <w:rsid w:val="00AC681E"/>
    <w:rsid w:val="00AC6CC7"/>
    <w:rsid w:val="00AC733C"/>
    <w:rsid w:val="00AC7B22"/>
    <w:rsid w:val="00AC7BD5"/>
    <w:rsid w:val="00AD00BB"/>
    <w:rsid w:val="00AD0AA3"/>
    <w:rsid w:val="00AD0BCF"/>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49"/>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6A91"/>
    <w:rsid w:val="00B2712A"/>
    <w:rsid w:val="00B2763F"/>
    <w:rsid w:val="00B27853"/>
    <w:rsid w:val="00B27AAC"/>
    <w:rsid w:val="00B302FA"/>
    <w:rsid w:val="00B307BA"/>
    <w:rsid w:val="00B30929"/>
    <w:rsid w:val="00B313B4"/>
    <w:rsid w:val="00B31FE9"/>
    <w:rsid w:val="00B32176"/>
    <w:rsid w:val="00B32B61"/>
    <w:rsid w:val="00B32E9F"/>
    <w:rsid w:val="00B338BE"/>
    <w:rsid w:val="00B33BE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396"/>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99D"/>
    <w:rsid w:val="00B85AAC"/>
    <w:rsid w:val="00B85DE5"/>
    <w:rsid w:val="00B8681D"/>
    <w:rsid w:val="00B86B54"/>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365"/>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2288"/>
    <w:rsid w:val="00C35447"/>
    <w:rsid w:val="00C354B5"/>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4A6"/>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82A"/>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77DDA"/>
    <w:rsid w:val="00C8128A"/>
    <w:rsid w:val="00C81568"/>
    <w:rsid w:val="00C81EB3"/>
    <w:rsid w:val="00C82871"/>
    <w:rsid w:val="00C83454"/>
    <w:rsid w:val="00C836BC"/>
    <w:rsid w:val="00C837B2"/>
    <w:rsid w:val="00C84847"/>
    <w:rsid w:val="00C84CA9"/>
    <w:rsid w:val="00C8580F"/>
    <w:rsid w:val="00C8723E"/>
    <w:rsid w:val="00C873BE"/>
    <w:rsid w:val="00C8789B"/>
    <w:rsid w:val="00C87994"/>
    <w:rsid w:val="00C87996"/>
    <w:rsid w:val="00C87AF5"/>
    <w:rsid w:val="00C90158"/>
    <w:rsid w:val="00C90216"/>
    <w:rsid w:val="00C9027A"/>
    <w:rsid w:val="00C904B3"/>
    <w:rsid w:val="00C9068E"/>
    <w:rsid w:val="00C90D9C"/>
    <w:rsid w:val="00C910C3"/>
    <w:rsid w:val="00C91490"/>
    <w:rsid w:val="00C9182E"/>
    <w:rsid w:val="00C91F7D"/>
    <w:rsid w:val="00C91FCB"/>
    <w:rsid w:val="00C9206B"/>
    <w:rsid w:val="00C9255D"/>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3CED"/>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1906"/>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1A7B"/>
    <w:rsid w:val="00D426C2"/>
    <w:rsid w:val="00D4318F"/>
    <w:rsid w:val="00D438BF"/>
    <w:rsid w:val="00D43B74"/>
    <w:rsid w:val="00D43CF8"/>
    <w:rsid w:val="00D43FBB"/>
    <w:rsid w:val="00D440F8"/>
    <w:rsid w:val="00D441B9"/>
    <w:rsid w:val="00D4515A"/>
    <w:rsid w:val="00D453C2"/>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2CE"/>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352"/>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BB4"/>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5C88"/>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352"/>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0FD"/>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042"/>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26B5"/>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C7D47"/>
    <w:rsid w:val="00ED0158"/>
    <w:rsid w:val="00ED01F1"/>
    <w:rsid w:val="00ED1006"/>
    <w:rsid w:val="00ED15FF"/>
    <w:rsid w:val="00ED1AEB"/>
    <w:rsid w:val="00ED1BEE"/>
    <w:rsid w:val="00ED1D14"/>
    <w:rsid w:val="00ED23CC"/>
    <w:rsid w:val="00ED24B0"/>
    <w:rsid w:val="00ED2AB8"/>
    <w:rsid w:val="00ED3E2F"/>
    <w:rsid w:val="00ED4362"/>
    <w:rsid w:val="00ED45CB"/>
    <w:rsid w:val="00ED4879"/>
    <w:rsid w:val="00ED4917"/>
    <w:rsid w:val="00ED4BF3"/>
    <w:rsid w:val="00ED4C85"/>
    <w:rsid w:val="00ED668D"/>
    <w:rsid w:val="00ED6C4B"/>
    <w:rsid w:val="00ED6DF2"/>
    <w:rsid w:val="00ED74C4"/>
    <w:rsid w:val="00ED7799"/>
    <w:rsid w:val="00ED7E54"/>
    <w:rsid w:val="00EE0CA6"/>
    <w:rsid w:val="00EE0E2C"/>
    <w:rsid w:val="00EE12BE"/>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C34"/>
    <w:rsid w:val="00EF6FAF"/>
    <w:rsid w:val="00EF783B"/>
    <w:rsid w:val="00EF78F3"/>
    <w:rsid w:val="00EF79AC"/>
    <w:rsid w:val="00EF7F5C"/>
    <w:rsid w:val="00F000C5"/>
    <w:rsid w:val="00F00ADD"/>
    <w:rsid w:val="00F014A0"/>
    <w:rsid w:val="00F01F1B"/>
    <w:rsid w:val="00F03002"/>
    <w:rsid w:val="00F036EF"/>
    <w:rsid w:val="00F03ED4"/>
    <w:rsid w:val="00F03F7A"/>
    <w:rsid w:val="00F04ABF"/>
    <w:rsid w:val="00F04DC0"/>
    <w:rsid w:val="00F0528D"/>
    <w:rsid w:val="00F054B9"/>
    <w:rsid w:val="00F06405"/>
    <w:rsid w:val="00F0657F"/>
    <w:rsid w:val="00F066EC"/>
    <w:rsid w:val="00F06C67"/>
    <w:rsid w:val="00F06DFD"/>
    <w:rsid w:val="00F071D1"/>
    <w:rsid w:val="00F07533"/>
    <w:rsid w:val="00F07AA8"/>
    <w:rsid w:val="00F1019A"/>
    <w:rsid w:val="00F10629"/>
    <w:rsid w:val="00F106B3"/>
    <w:rsid w:val="00F10B9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23E"/>
    <w:rsid w:val="00F21409"/>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E0F"/>
    <w:rsid w:val="00F326AF"/>
    <w:rsid w:val="00F32B20"/>
    <w:rsid w:val="00F32BC1"/>
    <w:rsid w:val="00F33113"/>
    <w:rsid w:val="00F33114"/>
    <w:rsid w:val="00F33BF6"/>
    <w:rsid w:val="00F33F60"/>
    <w:rsid w:val="00F3438E"/>
    <w:rsid w:val="00F35DFE"/>
    <w:rsid w:val="00F36D7E"/>
    <w:rsid w:val="00F374AB"/>
    <w:rsid w:val="00F374BD"/>
    <w:rsid w:val="00F37A65"/>
    <w:rsid w:val="00F37D1E"/>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01E"/>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77BC3"/>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3CE2"/>
    <w:rsid w:val="00FB4244"/>
    <w:rsid w:val="00FB4A15"/>
    <w:rsid w:val="00FB4B7B"/>
    <w:rsid w:val="00FB4C80"/>
    <w:rsid w:val="00FB524B"/>
    <w:rsid w:val="00FB52BA"/>
    <w:rsid w:val="00FB5433"/>
    <w:rsid w:val="00FB5559"/>
    <w:rsid w:val="00FB6A6A"/>
    <w:rsid w:val="00FB6AF7"/>
    <w:rsid w:val="00FB7153"/>
    <w:rsid w:val="00FB72D9"/>
    <w:rsid w:val="00FB743F"/>
    <w:rsid w:val="00FB7CAE"/>
    <w:rsid w:val="00FC037F"/>
    <w:rsid w:val="00FC09B8"/>
    <w:rsid w:val="00FC0E28"/>
    <w:rsid w:val="00FC132F"/>
    <w:rsid w:val="00FC14D6"/>
    <w:rsid w:val="00FC224E"/>
    <w:rsid w:val="00FC2594"/>
    <w:rsid w:val="00FC2C6B"/>
    <w:rsid w:val="00FC2F90"/>
    <w:rsid w:val="00FC3CA0"/>
    <w:rsid w:val="00FC4AD0"/>
    <w:rsid w:val="00FC4F6C"/>
    <w:rsid w:val="00FC54BD"/>
    <w:rsid w:val="00FC6275"/>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2C26"/>
    <w:rsid w:val="00FE3B6F"/>
    <w:rsid w:val="00FE3C6C"/>
    <w:rsid w:val="00FE4C7B"/>
    <w:rsid w:val="00FE58D1"/>
    <w:rsid w:val="00FE5CEC"/>
    <w:rsid w:val="00FE6BDD"/>
    <w:rsid w:val="00FE6CC6"/>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44298431">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80</TotalTime>
  <Pages>2</Pages>
  <Words>549</Words>
  <Characters>3131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Sarma Vangala</cp:lastModifiedBy>
  <cp:revision>37</cp:revision>
  <cp:lastPrinted>2020-01-28T01:17:00Z</cp:lastPrinted>
  <dcterms:created xsi:type="dcterms:W3CDTF">2020-10-21T06:15:00Z</dcterms:created>
  <dcterms:modified xsi:type="dcterms:W3CDTF">2021-05-10T17:36:00Z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